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045"/>
        <w:gridCol w:w="2430"/>
        <w:gridCol w:w="7908"/>
        <w:gridCol w:w="12"/>
      </w:tblGrid>
      <w:tr w:rsidR="00C2385A" w:rsidRPr="00C2385A" w14:paraId="3DE68AE7" w14:textId="77777777" w:rsidTr="00111B9F">
        <w:tc>
          <w:tcPr>
            <w:tcW w:w="14395" w:type="dxa"/>
            <w:gridSpan w:val="4"/>
            <w:shd w:val="pct12" w:color="auto" w:fill="auto"/>
          </w:tcPr>
          <w:p w14:paraId="31F63FDE" w14:textId="3C364FA7" w:rsidR="007706BE" w:rsidRPr="00C2385A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Assurance of Student Learnin</w:t>
            </w:r>
            <w:r w:rsidR="007706BE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</w:t>
            </w:r>
          </w:p>
          <w:p w14:paraId="1F91F812" w14:textId="2C5D05AA" w:rsidR="0017571B" w:rsidRPr="00C2385A" w:rsidRDefault="00886031" w:rsidP="00FB2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35323A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FB295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-202</w:t>
            </w:r>
            <w:r w:rsidR="00FB295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C2385A" w:rsidRPr="00C2385A" w14:paraId="62B2B48D" w14:textId="77777777" w:rsidTr="00111B9F">
        <w:trPr>
          <w:trHeight w:val="242"/>
        </w:trPr>
        <w:tc>
          <w:tcPr>
            <w:tcW w:w="6475" w:type="dxa"/>
            <w:gridSpan w:val="2"/>
          </w:tcPr>
          <w:p w14:paraId="506B9AE1" w14:textId="39CA32E5" w:rsidR="0017571B" w:rsidRPr="00C2385A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Potter College</w:t>
            </w:r>
          </w:p>
        </w:tc>
        <w:tc>
          <w:tcPr>
            <w:tcW w:w="7920" w:type="dxa"/>
            <w:gridSpan w:val="2"/>
          </w:tcPr>
          <w:p w14:paraId="4B219735" w14:textId="019401B1" w:rsidR="0017571B" w:rsidRPr="00C2385A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Political Science</w:t>
            </w:r>
          </w:p>
        </w:tc>
      </w:tr>
      <w:tr w:rsidR="00C2385A" w:rsidRPr="00C2385A" w14:paraId="3FB6829E" w14:textId="77777777" w:rsidTr="00111B9F">
        <w:tc>
          <w:tcPr>
            <w:tcW w:w="14395" w:type="dxa"/>
            <w:gridSpan w:val="4"/>
          </w:tcPr>
          <w:p w14:paraId="7CC57F6D" w14:textId="1E70A537" w:rsidR="0017571B" w:rsidRPr="00C2385A" w:rsidRDefault="00D43847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686 – Political Science</w:t>
            </w:r>
          </w:p>
        </w:tc>
      </w:tr>
      <w:tr w:rsidR="00C2385A" w:rsidRPr="00C2385A" w14:paraId="56A671A4" w14:textId="77777777" w:rsidTr="00111B9F">
        <w:tc>
          <w:tcPr>
            <w:tcW w:w="14395" w:type="dxa"/>
            <w:gridSpan w:val="4"/>
          </w:tcPr>
          <w:p w14:paraId="6AD05DAC" w14:textId="6AE099AC" w:rsidR="00141CFC" w:rsidRPr="00C2385A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Scott Lasley</w:t>
            </w:r>
          </w:p>
        </w:tc>
      </w:tr>
      <w:tr w:rsidR="00111B9F" w:rsidRPr="00C2385A" w14:paraId="332158FB" w14:textId="77777777" w:rsidTr="00111B9F">
        <w:trPr>
          <w:gridAfter w:val="1"/>
          <w:wAfter w:w="12" w:type="dxa"/>
          <w:trHeight w:val="584"/>
        </w:trPr>
        <w:tc>
          <w:tcPr>
            <w:tcW w:w="4045" w:type="dxa"/>
          </w:tcPr>
          <w:p w14:paraId="02245EE3" w14:textId="77777777" w:rsidR="00111B9F" w:rsidRPr="00C2385A" w:rsidRDefault="00111B9F" w:rsidP="009525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  <w:t>Is this an online program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Yes 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No</w:t>
            </w:r>
          </w:p>
          <w:p w14:paraId="4858CAD5" w14:textId="77777777" w:rsidR="00111B9F" w:rsidRPr="00C2385A" w:rsidRDefault="00111B9F" w:rsidP="009525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38" w:type="dxa"/>
            <w:gridSpan w:val="2"/>
          </w:tcPr>
          <w:p w14:paraId="116A3935" w14:textId="2D1AD82A" w:rsidR="00111B9F" w:rsidRPr="00C2385A" w:rsidRDefault="00111B9F" w:rsidP="005F18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CourseLeaf</w:t>
            </w:r>
            <w:proofErr w:type="spell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. Indicate verification here   </w:t>
            </w:r>
            <w:r w:rsidR="005F18DF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18DF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5F18DF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Yes, they match! (If they don’t match, explain on this page under 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Assessment Cycle)</w:t>
            </w:r>
          </w:p>
        </w:tc>
      </w:tr>
    </w:tbl>
    <w:p w14:paraId="71D8FAFA" w14:textId="77777777" w:rsidR="00980554" w:rsidRPr="00C2385A" w:rsidRDefault="0098055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C2385A" w:rsidRPr="00C2385A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C2385A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Use this page to list learning outcomes, measurements, and summarize results for your program.  </w:t>
            </w:r>
            <w:r w:rsidR="005D68AF"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Detailed</w:t>
            </w:r>
            <w:r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information must be completed in the subsequent pages.</w:t>
            </w:r>
          </w:p>
        </w:tc>
      </w:tr>
      <w:tr w:rsidR="00C2385A" w:rsidRPr="00C2385A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530F791" w:rsidR="007706BE" w:rsidRPr="00C2385A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1:</w:t>
            </w:r>
            <w:r w:rsidR="00A92A41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Illustrate the role of social, economic and political factors in shaping political problems</w:t>
            </w:r>
          </w:p>
        </w:tc>
      </w:tr>
      <w:tr w:rsidR="00C2385A" w:rsidRPr="00C2385A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C2385A" w:rsidRDefault="007706B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479159E8" w:rsidR="007706BE" w:rsidRPr="00C2385A" w:rsidRDefault="00D43847" w:rsidP="00D438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Assigned Paper from Senior Seminar (Paper #1)</w:t>
            </w:r>
          </w:p>
        </w:tc>
      </w:tr>
      <w:tr w:rsidR="00C2385A" w:rsidRPr="00C2385A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C2385A" w:rsidRDefault="007706B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Instrument </w:t>
            </w:r>
            <w:r w:rsidR="00B3239E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C2385A" w:rsidRDefault="007706B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EBD0E2F" w14:textId="105B7768" w:rsidR="00B3239E" w:rsidRPr="00C2385A" w:rsidRDefault="00B3239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363541AC" w14:textId="77777777" w:rsidTr="009525A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598730C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1482541A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E11A85" w14:textId="71F4096A" w:rsidR="00E533AB" w:rsidRPr="00C2385A" w:rsidRDefault="00111B9F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C35F8B" w14:textId="4A18579F" w:rsidR="00E533AB" w:rsidRPr="00C2385A" w:rsidRDefault="00111B9F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52A9DEBE" w14:textId="77777777" w:rsidTr="009525A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51E19264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2:</w:t>
            </w:r>
            <w:r w:rsidR="00A92A41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92A41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Connect the role of formal and informal political actors play in political discourse over public policy.</w:t>
            </w:r>
          </w:p>
        </w:tc>
      </w:tr>
      <w:tr w:rsidR="00C2385A" w:rsidRPr="00C2385A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41BC6063" w14:textId="1FE12AEB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36472A46" w:rsidR="00B3239E" w:rsidRPr="00C2385A" w:rsidRDefault="00D43847" w:rsidP="00A92A4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23F1F93E" w14:textId="303E3656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81FA288" w14:textId="77777777" w:rsidTr="009525A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931204E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7CB13496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3B600B" w14:textId="4F0D5B87" w:rsidR="00E533AB" w:rsidRPr="00C2385A" w:rsidRDefault="00AA1F3D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E06215" w14:textId="45043DC8" w:rsidR="00E533AB" w:rsidRPr="00C2385A" w:rsidRDefault="00AA1F3D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Not Met</w:t>
            </w:r>
          </w:p>
        </w:tc>
      </w:tr>
      <w:tr w:rsidR="00C2385A" w:rsidRPr="00C2385A" w14:paraId="67B84758" w14:textId="77777777" w:rsidTr="009525A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5F496653" w:rsidR="00B3239E" w:rsidRPr="00C2385A" w:rsidRDefault="00B3239E" w:rsidP="00D438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3:</w:t>
            </w:r>
            <w:r w:rsidR="00A92A41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92A41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Assess the ability of actors and institutions to address political and policy problems</w:t>
            </w:r>
            <w:r w:rsidR="00A92A41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C2385A" w:rsidRPr="00C2385A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73A7929F" w14:textId="67913226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08020D1E" w:rsidR="00B3239E" w:rsidRPr="00C2385A" w:rsidRDefault="00D43847" w:rsidP="00FA67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Pr="00C2385A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22107255" w14:textId="2A4EC677" w:rsidR="0075740F" w:rsidRPr="00C2385A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AEF2311" w14:textId="77777777" w:rsidTr="009525A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8C1AE6B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794D0B5F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BA26D0" w14:textId="0CDD4957" w:rsidR="00E533AB" w:rsidRPr="00C2385A" w:rsidRDefault="00D921CC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6FB13C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74375125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F366115" w14:textId="77777777" w:rsidR="00E20568" w:rsidRPr="00C2385A" w:rsidRDefault="00E20568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Assessment Cycle Plan: </w:t>
            </w:r>
          </w:p>
        </w:tc>
      </w:tr>
      <w:tr w:rsidR="00C2385A" w:rsidRPr="00C2385A" w14:paraId="2B4FD2AF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649C911" w14:textId="3A63D13A" w:rsidR="00E20568" w:rsidRPr="00C2385A" w:rsidRDefault="00C2385A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All SLOs will continue to be assessed annually. </w:t>
            </w:r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Students continue to perform reasonably well in the major. The requirements for the major were revised effective Fall 2021</w:t>
            </w:r>
            <w:r w:rsidR="00D43847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The revisions more closely align the major’s curriculum with PCAL’s core competencies. </w:t>
            </w:r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Potential </w:t>
            </w:r>
            <w:proofErr w:type="gramStart"/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changes</w:t>
            </w:r>
            <w:proofErr w:type="gramEnd"/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were discussed have been discussed but no clear consensus has </w:t>
            </w:r>
            <w:proofErr w:type="gramStart"/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emerged</w:t>
            </w:r>
            <w:proofErr w:type="gramEnd"/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no changes have been made yet. Until changes are </w:t>
            </w:r>
            <w:proofErr w:type="gramStart"/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made</w:t>
            </w:r>
            <w:proofErr w:type="gramEnd"/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we will plan to maintain the status quo for assessment.</w:t>
            </w:r>
          </w:p>
          <w:p w14:paraId="47B361A6" w14:textId="77777777" w:rsidR="00E20568" w:rsidRPr="00C2385A" w:rsidRDefault="00E20568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7B5FA4A" w14:textId="77777777" w:rsidR="00E20568" w:rsidRPr="00C2385A" w:rsidRDefault="00E20568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C073C9D" w14:textId="0DCE72C2" w:rsidR="00AA5FB2" w:rsidRPr="00C2385A" w:rsidRDefault="0017571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44153738" w14:textId="77777777" w:rsidR="00C81981" w:rsidRPr="00C2385A" w:rsidRDefault="00C819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C2385A" w:rsidRPr="00C2385A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C2385A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1</w:t>
            </w:r>
          </w:p>
          <w:p w14:paraId="76D6AAA0" w14:textId="3154A247" w:rsidR="00C81981" w:rsidRPr="00C2385A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D95D5D4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7E36E21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04AE0D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Illustrate the role of social, economic and political factors in shaping political problems.</w:t>
            </w:r>
          </w:p>
        </w:tc>
      </w:tr>
      <w:tr w:rsidR="00C2385A" w:rsidRPr="00C2385A" w14:paraId="52840D2C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8390D32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0FBBEF37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7D4BF5D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7BE16F8" w14:textId="77777777" w:rsidR="00C41C05" w:rsidRPr="00C2385A" w:rsidRDefault="00C41C05" w:rsidP="00C41C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Assigned Paper from Senior Seminar (Paper #1)</w:t>
            </w:r>
          </w:p>
        </w:tc>
      </w:tr>
      <w:tr w:rsidR="00C2385A" w:rsidRPr="00C2385A" w14:paraId="1DCB8D60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EFA2C2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E7D6FFF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3D3E6593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1BC9667E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4FB4E9A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580342A9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2129A2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46F654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464E37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D77E643" w14:textId="49A128FE" w:rsidR="00C41C05" w:rsidRPr="00C2385A" w:rsidRDefault="00FB2957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86</w:t>
            </w:r>
            <w:r w:rsidR="00C41C05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C2385A" w:rsidRPr="00C2385A" w14:paraId="7F77CAB0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86DB48F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Methods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3B4A20C" w14:textId="60E30AC2" w:rsidR="00C41C05" w:rsidRPr="00C2385A" w:rsidRDefault="00C41C05" w:rsidP="00C41C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1/3 of papers from Senior Seminar were randomly selected for review by faculty (</w:t>
            </w: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=</w:t>
            </w:r>
            <w:r w:rsidR="00FB29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14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).  The departmental assessment committee evaluated the papers using the appropriate rubric. The assessment </w:t>
            </w:r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was completed by two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faculty members </w:t>
            </w:r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from the assessment committee.</w:t>
            </w:r>
          </w:p>
          <w:p w14:paraId="03B986DF" w14:textId="77777777" w:rsidR="00C41C05" w:rsidRPr="00C2385A" w:rsidRDefault="00C41C05" w:rsidP="00C41C0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0686B61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1A7AC30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088576C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B1CE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12EAD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</w:tbl>
    <w:p w14:paraId="7E485A64" w14:textId="0EF144B3" w:rsidR="007B3150" w:rsidRPr="00C2385A" w:rsidRDefault="007B31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5A9ACB" w14:textId="7A1AD009" w:rsidR="00F136C3" w:rsidRPr="00C2385A" w:rsidRDefault="00F136C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260"/>
        <w:gridCol w:w="540"/>
        <w:gridCol w:w="1980"/>
      </w:tblGrid>
      <w:tr w:rsidR="00C2385A" w:rsidRPr="00C2385A" w14:paraId="724F3470" w14:textId="77777777" w:rsidTr="00B743B7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0E0BB5EE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2</w:t>
            </w:r>
          </w:p>
        </w:tc>
      </w:tr>
      <w:tr w:rsidR="00C2385A" w:rsidRPr="00C2385A" w14:paraId="5445205A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39BA9BE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CBBE01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Connect the role of formal and informal political actors play in political discourse over public policy.</w:t>
            </w:r>
          </w:p>
        </w:tc>
      </w:tr>
      <w:tr w:rsidR="00C2385A" w:rsidRPr="00C2385A" w14:paraId="74445187" w14:textId="77777777" w:rsidTr="00B743B7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AF6FD6D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0652B8A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51B9C289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BF8A6BE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D21CD39" w14:textId="71ABE26D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Score at least 3</w:t>
            </w:r>
            <w:r w:rsidR="00C2385A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 of 5 on attached rubric.</w:t>
            </w:r>
          </w:p>
          <w:p w14:paraId="64CAC378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B3E2807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E68E9D8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79DFE8C5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F1BD96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02EC3F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12E150A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FE9E68A" w14:textId="1B81669D" w:rsidR="005006DA" w:rsidRPr="00C2385A" w:rsidRDefault="00FB2957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79</w:t>
            </w:r>
            <w:r w:rsidR="005006DA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C2385A" w:rsidRPr="00C2385A" w14:paraId="69EBEDA6" w14:textId="77777777" w:rsidTr="00B743B7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A9283F5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Methods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61DD5207" w14:textId="6A1A7066" w:rsidR="005006DA" w:rsidRPr="00C2385A" w:rsidRDefault="005006DA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1/3 of papers from Senior Seminar were randomly selected for review by faculty (</w:t>
            </w: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=1</w:t>
            </w:r>
            <w:r w:rsidR="006B56C7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).  The departmental assessment committee evaluated the papers using the appropriate rubric.   </w:t>
            </w:r>
          </w:p>
          <w:p w14:paraId="02A0B27C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22871464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B08F8C3" w14:textId="777149E9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Based on your results, highlight whether the program met the goal Student Learning Outcome </w:t>
            </w:r>
            <w:r w:rsidR="00B17A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423C1A32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5C356" w14:textId="1731CB61" w:rsidR="005006DA" w:rsidRPr="00C2385A" w:rsidRDefault="00C21245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  <w:r w:rsidR="005006DA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3858C" w14:textId="63E0A8BB" w:rsidR="005006DA" w:rsidRPr="00C2385A" w:rsidRDefault="00C21245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5006DA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</w:tbl>
    <w:p w14:paraId="3D8754B0" w14:textId="6734E2A6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E7FA21" w14:textId="21ADDF93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260"/>
        <w:gridCol w:w="540"/>
        <w:gridCol w:w="1980"/>
      </w:tblGrid>
      <w:tr w:rsidR="00C2385A" w:rsidRPr="00C2385A" w14:paraId="3966EDE6" w14:textId="77777777" w:rsidTr="00B743B7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0338E99D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3</w:t>
            </w:r>
          </w:p>
        </w:tc>
      </w:tr>
      <w:tr w:rsidR="00C2385A" w:rsidRPr="00C2385A" w14:paraId="2D759063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C15D6F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2A43BD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 the ability of actors and institutions to address political and policy problems.</w:t>
            </w:r>
          </w:p>
        </w:tc>
      </w:tr>
      <w:tr w:rsidR="00C2385A" w:rsidRPr="00C2385A" w14:paraId="21FAAFFA" w14:textId="77777777" w:rsidTr="00B743B7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23100EE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CFD7191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06B0A5AF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93DDDAB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56DA66A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Score at least 3 out of 5 on attached rubric</w:t>
            </w:r>
          </w:p>
          <w:p w14:paraId="1A95FA51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16B45A9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1D0DD27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04C0EBF3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288764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DEF76C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5C6B9E3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3D5F02B" w14:textId="4E05228B" w:rsidR="006B56C7" w:rsidRPr="00C2385A" w:rsidRDefault="00B4701E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86</w:t>
            </w:r>
            <w:r w:rsidR="006B56C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C2385A" w:rsidRPr="00C2385A" w14:paraId="6A648918" w14:textId="77777777" w:rsidTr="00B743B7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B5C4C65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Methods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EEB9D07" w14:textId="33758DA4" w:rsidR="006B56C7" w:rsidRPr="00C2385A" w:rsidRDefault="006B56C7" w:rsidP="006B56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1/3 of papers from Senior Seminar were randomly selected for review by faculty</w:t>
            </w:r>
            <w:r w:rsid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=1</w:t>
            </w:r>
            <w:r w:rsidR="00B4701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4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). The department assessment committee evaluated the papers using the appropriate rubric.   </w:t>
            </w:r>
          </w:p>
          <w:p w14:paraId="1FF3E352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B023007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EC426C" w14:textId="40EE50D3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Based on your results, highlight whether the program met the goal Student Learning Outcome </w:t>
            </w:r>
            <w:r w:rsidR="00B17A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5BBD07DE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3B94B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876CC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AA1F3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5D344539" w14:textId="77777777" w:rsidTr="00B743B7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F7601EA" w14:textId="77777777" w:rsidR="006B56C7" w:rsidRPr="00C2385A" w:rsidRDefault="006B56C7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C2385A" w:rsidRPr="00C2385A" w14:paraId="1E544CFF" w14:textId="77777777" w:rsidTr="00B743B7">
        <w:trPr>
          <w:trHeight w:val="134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9508608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As </w:t>
            </w:r>
            <w:proofErr w:type="gramStart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expected</w:t>
            </w:r>
            <w:proofErr w:type="gramEnd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6132B114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0C033BD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 We have good students who perform well in the program and curriculum is structured to emphasize </w:t>
            </w:r>
            <w:proofErr w:type="spellStart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SLOs.We</w:t>
            </w:r>
            <w:proofErr w:type="spellEnd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are a bit concerned about some changes to student attendance/behavior post </w:t>
            </w:r>
            <w:proofErr w:type="gramStart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pandemic</w:t>
            </w:r>
            <w:proofErr w:type="gramEnd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but they have not been reflected as part of the assessment process. </w:t>
            </w:r>
          </w:p>
          <w:p w14:paraId="188DD3F2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8AF2D" w14:textId="6F554293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No significant change is planned </w:t>
            </w:r>
            <w:r w:rsidR="00B470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yet but we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will look at adding a 4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SLO (for research/methods) as needed. We will look to once again add student surveys to the annual review of the Department.</w:t>
            </w:r>
          </w:p>
          <w:p w14:paraId="2C351708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C164E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48A0FA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666DC3A" w14:textId="150FC6C5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492CE4" w14:textId="77777777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249D63" w14:textId="67392C56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1766CF1D" w14:textId="77777777" w:rsidR="005006DA" w:rsidRPr="00C2385A" w:rsidRDefault="005006D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001833" w14:textId="77777777" w:rsidR="009525A7" w:rsidRPr="00C2385A" w:rsidRDefault="009525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6828D8" w14:textId="745A6357" w:rsidR="00B77504" w:rsidRPr="00C2385A" w:rsidRDefault="00B7750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B9D5D3" w14:textId="77777777" w:rsidR="006B56C7" w:rsidRPr="00C2385A" w:rsidRDefault="006B56C7" w:rsidP="006B56C7">
      <w:pPr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Rubric for Student Learning Outcomes – Political Science</w:t>
      </w:r>
    </w:p>
    <w:p w14:paraId="3E4CF238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8F51DC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SLO 1:  Illustrate the role of social, economic and political factors in shaping political problems.</w:t>
      </w:r>
    </w:p>
    <w:p w14:paraId="5E83D6B9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2D14DFA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 – Unable to identify the role of factors in shaping political problems.</w:t>
      </w:r>
    </w:p>
    <w:p w14:paraId="32A93056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 – Identifies and defines several key factors.</w:t>
      </w:r>
    </w:p>
    <w:p w14:paraId="1FB015C8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 – Clearly identifies and defines role of factors in shaping political problems.</w:t>
      </w:r>
    </w:p>
    <w:p w14:paraId="41406F86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600347A9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SLO 2: Connect the role of formal and informal political actors play in political discourse over public policy.</w:t>
      </w:r>
    </w:p>
    <w:p w14:paraId="78E11261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6D8B1A5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 – Unable to identify and connect the role of political actors in political discourse.</w:t>
      </w:r>
    </w:p>
    <w:p w14:paraId="0C7E1BE7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 – Identifies role of actors in discourse and makes basic connections.</w:t>
      </w:r>
    </w:p>
    <w:p w14:paraId="5D012B7B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 – Clearly connects role of political actors in political discourse over public policy.</w:t>
      </w:r>
    </w:p>
    <w:p w14:paraId="10EE013A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5B1C4FF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SLO 3: Assess the ability of actors and institutions to address political and policy problems.</w:t>
      </w:r>
    </w:p>
    <w:p w14:paraId="5FDF239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E64E6C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 – Unable to identify and assess the ability of actors to solve problems.</w:t>
      </w:r>
    </w:p>
    <w:p w14:paraId="4FF5CCA9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 – Identifies key actors and institutions and begins to describe their role in addressing political problems.</w:t>
      </w:r>
    </w:p>
    <w:p w14:paraId="23B958F8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 – Clearly analyzes ability of actors and institutions to address policy and political problems.</w:t>
      </w:r>
    </w:p>
    <w:p w14:paraId="1896F950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2E73605" w14:textId="77777777" w:rsidR="006B56C7" w:rsidRPr="00C2385A" w:rsidRDefault="006B56C7" w:rsidP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1580"/>
        <w:gridCol w:w="970"/>
        <w:gridCol w:w="3801"/>
        <w:gridCol w:w="2436"/>
        <w:gridCol w:w="2340"/>
        <w:gridCol w:w="2200"/>
      </w:tblGrid>
      <w:tr w:rsidR="00C2385A" w:rsidRPr="00C2385A" w14:paraId="49312D96" w14:textId="77777777" w:rsidTr="00B743B7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10545B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Program name: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0E85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73A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635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136ACB2B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AEA370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0F8A0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CC3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6B3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297A9F0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00F988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College: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17FC4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PCAL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63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E914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7406C45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5F37D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Contact person: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D791D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Scott Lasley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10BF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469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17BC0BE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866351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CE281" w14:textId="77777777" w:rsidR="006B56C7" w:rsidRPr="00C2385A" w:rsidRDefault="00AA1F3D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hyperlink r:id="rId6" w:history="1">
              <w:r w:rsidR="006B56C7" w:rsidRPr="00C2385A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u w:val="single"/>
                </w:rPr>
                <w:t>scott.lasley@wku.edu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6506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824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A138611" w14:textId="77777777" w:rsidTr="00B743B7">
        <w:trPr>
          <w:trHeight w:val="402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1DA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756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15A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F1D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C54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A2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00522F1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176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KEY: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C4C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70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DF5D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E1F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7962CF33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3956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= Introduced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848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8F5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298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75A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221EBECE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CC90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 = Reinforced/Developed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A607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1BB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AFD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F1C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E77501F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B84F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 = Mastered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6F8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300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BBF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129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307D2963" w14:textId="77777777" w:rsidTr="00B743B7">
        <w:trPr>
          <w:trHeight w:val="360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96A04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 = Assessed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CA2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5A6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2B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2946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5E13185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A99554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D2939B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755DDA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9E450B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CB9075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71D40F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5CD7711B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358EA2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ADDC75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EF34DE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BCC039C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LO1: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CB370A4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LO2: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F53AA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LO3:</w:t>
            </w:r>
          </w:p>
        </w:tc>
      </w:tr>
      <w:tr w:rsidR="00C2385A" w:rsidRPr="00C2385A" w14:paraId="4FBDA1DF" w14:textId="77777777" w:rsidTr="00B743B7">
        <w:trPr>
          <w:trHeight w:val="18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F63E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95C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9F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6B29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Illustrate the role of social, economic and political factors in shaping political problems.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D93EF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Connect the role of formal and informal political actors play in political discourse over public policy.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10C3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 the ability of actors and institutions to address political and policy problems.</w:t>
            </w:r>
          </w:p>
        </w:tc>
      </w:tr>
      <w:tr w:rsidR="00C2385A" w:rsidRPr="00C2385A" w14:paraId="1ECF8941" w14:textId="77777777" w:rsidTr="00B743B7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F7BB6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Subject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DD64FE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Number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78207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636B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DF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09DF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6B035AE7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D142E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006BE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38BB3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American National Government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4B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9494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9D4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C2385A" w:rsidRPr="00C2385A" w14:paraId="7FBDC7E6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C33824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4DB065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74DB25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International Politics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0D1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52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AF5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I/R</w:t>
            </w:r>
          </w:p>
        </w:tc>
      </w:tr>
      <w:tr w:rsidR="00C2385A" w:rsidRPr="00C2385A" w14:paraId="1DA2825B" w14:textId="77777777" w:rsidTr="00B743B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AACD0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882C6E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1D5C37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Intro to Citizenship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852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EA2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8C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</w:tc>
      </w:tr>
      <w:tr w:rsidR="00C2385A" w:rsidRPr="00C2385A" w14:paraId="1E84F415" w14:textId="77777777" w:rsidTr="00B743B7">
        <w:trPr>
          <w:trHeight w:val="34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6F8FC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EBEAB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301/302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990A8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Stats/Research Design*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43F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03DB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C2C7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21A6BB36" w14:textId="77777777" w:rsidTr="00B743B7">
        <w:trPr>
          <w:trHeight w:val="34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948E6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28489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7642E4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Almost All PS Courses**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3E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EEB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47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R/M</w:t>
            </w:r>
          </w:p>
        </w:tc>
      </w:tr>
      <w:tr w:rsidR="00C2385A" w:rsidRPr="00C2385A" w14:paraId="3CDA1354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68C902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F402A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499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16B1F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Senior Seminar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F66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EB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F9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M/A</w:t>
            </w:r>
          </w:p>
        </w:tc>
      </w:tr>
      <w:tr w:rsidR="00C2385A" w:rsidRPr="00C2385A" w14:paraId="59D95A72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244513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7AAF4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A3650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6E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6F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31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13F37A69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6F9BA3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B275F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65201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1A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7B6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CA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52855D0E" w14:textId="77777777" w:rsidTr="00B743B7">
        <w:trPr>
          <w:trHeight w:val="21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ABD38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DEC387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CFFD1A9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* PS 301/302 does not directly </w:t>
            </w:r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provides</w:t>
            </w:r>
            <w:proofErr w:type="gram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skills for achieving program learning outcomes but does not directly address them. We should identify a fourth learning outcome that can be added to the program learning outcomes.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FC0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D59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00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4872E3F8" w14:textId="77777777" w:rsidTr="00B743B7">
        <w:trPr>
          <w:trHeight w:val="9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4FD3F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83FB4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84AD9D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 This includes courses that fall into the three areas of restricted electives.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A05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3A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06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AA08F29" w14:textId="77777777" w:rsidR="006B56C7" w:rsidRPr="00C2385A" w:rsidRDefault="006B56C7" w:rsidP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336FF1" w14:textId="77777777" w:rsidR="00166F74" w:rsidRPr="00C2385A" w:rsidRDefault="00166F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166F74" w:rsidRPr="00C2385A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27D6B" w14:textId="77777777" w:rsidR="00AE6A16" w:rsidRDefault="00AE6A16" w:rsidP="001F2A02">
      <w:r>
        <w:separator/>
      </w:r>
    </w:p>
  </w:endnote>
  <w:endnote w:type="continuationSeparator" w:id="0">
    <w:p w14:paraId="6E78C7F9" w14:textId="77777777" w:rsidR="00AE6A16" w:rsidRDefault="00AE6A16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9525A7" w:rsidRDefault="009525A7" w:rsidP="009525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9525A7" w:rsidRDefault="009525A7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0CFD2AB6" w:rsidR="009525A7" w:rsidRPr="00FB363A" w:rsidRDefault="009525A7" w:rsidP="009525A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C21245">
          <w:rPr>
            <w:rStyle w:val="PageNumber"/>
            <w:rFonts w:ascii="Times New Roman" w:hAnsi="Times New Roman"/>
            <w:noProof/>
            <w:sz w:val="20"/>
            <w:szCs w:val="20"/>
          </w:rPr>
          <w:t>4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9525A7" w:rsidRPr="00FB363A" w:rsidRDefault="009525A7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CFCA" w14:textId="77777777" w:rsidR="00AE6A16" w:rsidRDefault="00AE6A16" w:rsidP="001F2A02">
      <w:r>
        <w:separator/>
      </w:r>
    </w:p>
  </w:footnote>
  <w:footnote w:type="continuationSeparator" w:id="0">
    <w:p w14:paraId="0D429006" w14:textId="77777777" w:rsidR="00AE6A16" w:rsidRDefault="00AE6A16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2BED"/>
    <w:rsid w:val="00046A6C"/>
    <w:rsid w:val="00071470"/>
    <w:rsid w:val="00076693"/>
    <w:rsid w:val="000F7263"/>
    <w:rsid w:val="00111B9F"/>
    <w:rsid w:val="001160F4"/>
    <w:rsid w:val="00141CFC"/>
    <w:rsid w:val="00166F74"/>
    <w:rsid w:val="0017571B"/>
    <w:rsid w:val="001A7D75"/>
    <w:rsid w:val="001B1F95"/>
    <w:rsid w:val="001F2A02"/>
    <w:rsid w:val="00234076"/>
    <w:rsid w:val="0024670E"/>
    <w:rsid w:val="00293E7B"/>
    <w:rsid w:val="002C1781"/>
    <w:rsid w:val="002D5D87"/>
    <w:rsid w:val="002F1066"/>
    <w:rsid w:val="002F75F1"/>
    <w:rsid w:val="003425F4"/>
    <w:rsid w:val="0035323A"/>
    <w:rsid w:val="0036061A"/>
    <w:rsid w:val="003A32E4"/>
    <w:rsid w:val="003D25DA"/>
    <w:rsid w:val="003E0415"/>
    <w:rsid w:val="00402256"/>
    <w:rsid w:val="00406B46"/>
    <w:rsid w:val="0044187F"/>
    <w:rsid w:val="004A360E"/>
    <w:rsid w:val="004B0DA2"/>
    <w:rsid w:val="004C0112"/>
    <w:rsid w:val="004D4A85"/>
    <w:rsid w:val="004D5BD7"/>
    <w:rsid w:val="004D7D95"/>
    <w:rsid w:val="004E577A"/>
    <w:rsid w:val="005006DA"/>
    <w:rsid w:val="005907DF"/>
    <w:rsid w:val="005C7ECF"/>
    <w:rsid w:val="005D648E"/>
    <w:rsid w:val="005D68AF"/>
    <w:rsid w:val="005F0B2E"/>
    <w:rsid w:val="005F18DF"/>
    <w:rsid w:val="00606253"/>
    <w:rsid w:val="006354B4"/>
    <w:rsid w:val="00656559"/>
    <w:rsid w:val="00664A15"/>
    <w:rsid w:val="006B56C7"/>
    <w:rsid w:val="006D1A9A"/>
    <w:rsid w:val="006E294C"/>
    <w:rsid w:val="0070232E"/>
    <w:rsid w:val="007377F0"/>
    <w:rsid w:val="007531CA"/>
    <w:rsid w:val="0075740F"/>
    <w:rsid w:val="007706BE"/>
    <w:rsid w:val="0078019B"/>
    <w:rsid w:val="007822AB"/>
    <w:rsid w:val="007973A0"/>
    <w:rsid w:val="007B3150"/>
    <w:rsid w:val="00886031"/>
    <w:rsid w:val="008C1053"/>
    <w:rsid w:val="008C543D"/>
    <w:rsid w:val="00906B14"/>
    <w:rsid w:val="009414E6"/>
    <w:rsid w:val="009525A7"/>
    <w:rsid w:val="00980554"/>
    <w:rsid w:val="00A163DA"/>
    <w:rsid w:val="00A70A34"/>
    <w:rsid w:val="00A8015B"/>
    <w:rsid w:val="00A92A41"/>
    <w:rsid w:val="00A96154"/>
    <w:rsid w:val="00AA1F3D"/>
    <w:rsid w:val="00AA5FB2"/>
    <w:rsid w:val="00AE6A16"/>
    <w:rsid w:val="00AE7017"/>
    <w:rsid w:val="00B171C4"/>
    <w:rsid w:val="00B17A00"/>
    <w:rsid w:val="00B3239E"/>
    <w:rsid w:val="00B4701E"/>
    <w:rsid w:val="00B53BE1"/>
    <w:rsid w:val="00B63581"/>
    <w:rsid w:val="00B77504"/>
    <w:rsid w:val="00BA2BF5"/>
    <w:rsid w:val="00BA2DF5"/>
    <w:rsid w:val="00BA43B7"/>
    <w:rsid w:val="00BC0316"/>
    <w:rsid w:val="00BD516F"/>
    <w:rsid w:val="00C21245"/>
    <w:rsid w:val="00C2385A"/>
    <w:rsid w:val="00C41C05"/>
    <w:rsid w:val="00C4455B"/>
    <w:rsid w:val="00C81981"/>
    <w:rsid w:val="00D03ECA"/>
    <w:rsid w:val="00D43847"/>
    <w:rsid w:val="00D713AB"/>
    <w:rsid w:val="00D85C05"/>
    <w:rsid w:val="00D86425"/>
    <w:rsid w:val="00D86E93"/>
    <w:rsid w:val="00D921CC"/>
    <w:rsid w:val="00DD4EBB"/>
    <w:rsid w:val="00E20568"/>
    <w:rsid w:val="00E533AB"/>
    <w:rsid w:val="00E73499"/>
    <w:rsid w:val="00E95BBD"/>
    <w:rsid w:val="00EB65C8"/>
    <w:rsid w:val="00EC1C25"/>
    <w:rsid w:val="00F136C3"/>
    <w:rsid w:val="00F51EDD"/>
    <w:rsid w:val="00FA67F0"/>
    <w:rsid w:val="00FB2957"/>
    <w:rsid w:val="00FB363A"/>
    <w:rsid w:val="00FC2A73"/>
    <w:rsid w:val="00FF1FA2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80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lasley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1103</Words>
  <Characters>6293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2022-07-20T15:37:00Z</cp:lastPrinted>
  <dcterms:created xsi:type="dcterms:W3CDTF">2024-06-10T19:04:00Z</dcterms:created>
  <dcterms:modified xsi:type="dcterms:W3CDTF">2024-06-10T19:04:00Z</dcterms:modified>
</cp:coreProperties>
</file>